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7DE" w:rsidRDefault="005F25B0" w:rsidP="00FB27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Информация о</w:t>
      </w:r>
      <w:r w:rsidR="00FB27DE">
        <w:rPr>
          <w:rFonts w:ascii="Arial" w:hAnsi="Arial" w:cs="Arial"/>
          <w:sz w:val="24"/>
          <w:szCs w:val="24"/>
        </w:rPr>
        <w:t xml:space="preserve"> форм</w:t>
      </w:r>
      <w:r>
        <w:rPr>
          <w:rFonts w:ascii="Arial" w:hAnsi="Arial" w:cs="Arial"/>
          <w:sz w:val="24"/>
          <w:szCs w:val="24"/>
        </w:rPr>
        <w:t>ах</w:t>
      </w:r>
      <w:bookmarkStart w:id="0" w:name="_GoBack"/>
      <w:bookmarkEnd w:id="0"/>
      <w:r w:rsidR="00FB27DE">
        <w:rPr>
          <w:rFonts w:ascii="Arial" w:hAnsi="Arial" w:cs="Arial"/>
          <w:sz w:val="24"/>
          <w:szCs w:val="24"/>
        </w:rPr>
        <w:t xml:space="preserve"> обучения.</w:t>
      </w:r>
    </w:p>
    <w:p w:rsidR="00FB27DE" w:rsidRPr="00FB27DE" w:rsidRDefault="00FB27DE" w:rsidP="00FB27DE">
      <w:pPr>
        <w:jc w:val="both"/>
        <w:rPr>
          <w:rFonts w:ascii="Arial" w:hAnsi="Arial" w:cs="Arial"/>
          <w:sz w:val="24"/>
          <w:szCs w:val="24"/>
        </w:rPr>
      </w:pPr>
      <w:r w:rsidRPr="00FB27DE">
        <w:rPr>
          <w:rFonts w:ascii="Arial" w:hAnsi="Arial" w:cs="Arial"/>
          <w:sz w:val="24"/>
          <w:szCs w:val="24"/>
        </w:rPr>
        <w:t>Дополнительные общераз</w:t>
      </w:r>
      <w:r w:rsidR="009002B8">
        <w:rPr>
          <w:rFonts w:ascii="Arial" w:hAnsi="Arial" w:cs="Arial"/>
          <w:sz w:val="24"/>
          <w:szCs w:val="24"/>
        </w:rPr>
        <w:t>вивающие</w:t>
      </w:r>
      <w:r w:rsidRPr="00FB27DE">
        <w:rPr>
          <w:rFonts w:ascii="Arial" w:hAnsi="Arial" w:cs="Arial"/>
          <w:sz w:val="24"/>
          <w:szCs w:val="24"/>
        </w:rPr>
        <w:t xml:space="preserve"> программы</w:t>
      </w:r>
      <w:r w:rsidR="009002B8">
        <w:rPr>
          <w:rFonts w:ascii="Arial" w:hAnsi="Arial" w:cs="Arial"/>
          <w:sz w:val="24"/>
          <w:szCs w:val="24"/>
        </w:rPr>
        <w:t xml:space="preserve"> физкультурно-спортивной направленности</w:t>
      </w:r>
      <w:r w:rsidRPr="00FB27DE">
        <w:rPr>
          <w:rFonts w:ascii="Arial" w:hAnsi="Arial" w:cs="Arial"/>
          <w:sz w:val="24"/>
          <w:szCs w:val="24"/>
        </w:rPr>
        <w:t>, программы спортивной подготовки по видам спорта осваиваются в очной форме.</w:t>
      </w:r>
    </w:p>
    <w:p w:rsidR="00FB27DE" w:rsidRPr="00FB27DE" w:rsidRDefault="00FB27DE" w:rsidP="00FB27DE">
      <w:pPr>
        <w:jc w:val="both"/>
        <w:rPr>
          <w:rFonts w:ascii="Arial" w:hAnsi="Arial" w:cs="Arial"/>
          <w:sz w:val="24"/>
          <w:szCs w:val="24"/>
        </w:rPr>
      </w:pPr>
      <w:r w:rsidRPr="00FB27DE">
        <w:rPr>
          <w:rFonts w:ascii="Arial" w:hAnsi="Arial" w:cs="Arial"/>
          <w:sz w:val="24"/>
          <w:szCs w:val="24"/>
        </w:rPr>
        <w:t>Основными формами образовательного и тренировочного процессов являются: тренировочные занятия с группой (подгруппой), работа по индивидуальным планам, медико-восстановительные мероприятия и медицинский контроль, промежуточная и итоговая аттестация, участие в соревнованиях, тренировочных сборах и иных мероприятиях, инструкторская и судейская практика.</w:t>
      </w:r>
    </w:p>
    <w:p w:rsidR="00771FDB" w:rsidRDefault="00771FDB"/>
    <w:sectPr w:rsidR="00771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DE"/>
    <w:rsid w:val="005F25B0"/>
    <w:rsid w:val="00771FDB"/>
    <w:rsid w:val="009002B8"/>
    <w:rsid w:val="00FB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FD86"/>
  <w15:chartTrackingRefBased/>
  <w15:docId w15:val="{31F6ED38-25B5-4D94-B9DF-65952278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2019-01-15T17:04:00Z</dcterms:created>
  <dcterms:modified xsi:type="dcterms:W3CDTF">2019-01-23T14:50:00Z</dcterms:modified>
</cp:coreProperties>
</file>